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6197"/>
      </w:tblGrid>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bookmarkStart w:id="0" w:name="_GoBack"/>
            <w:bookmarkEnd w:id="0"/>
            <w:r w:rsidRPr="00987923">
              <w:rPr>
                <w:rFonts w:ascii="Trebuchet MS" w:hAnsi="Trebuchet MS"/>
                <w:sz w:val="22"/>
                <w:szCs w:val="22"/>
              </w:rPr>
              <w:t>Denumirea măsurii</w:t>
            </w:r>
          </w:p>
        </w:tc>
        <w:tc>
          <w:tcPr>
            <w:tcW w:w="3538" w:type="pct"/>
            <w:vAlign w:val="center"/>
          </w:tcPr>
          <w:p w:rsidR="007214C7" w:rsidRPr="00987923" w:rsidRDefault="007214C7" w:rsidP="00493D6D">
            <w:pPr>
              <w:pStyle w:val="Default"/>
              <w:spacing w:line="276" w:lineRule="auto"/>
              <w:jc w:val="both"/>
              <w:rPr>
                <w:rFonts w:ascii="Trebuchet MS" w:hAnsi="Trebuchet MS"/>
                <w:b/>
                <w:color w:val="auto"/>
                <w:sz w:val="22"/>
                <w:szCs w:val="22"/>
                <w:lang w:val="ro-RO"/>
              </w:rPr>
            </w:pPr>
            <w:r w:rsidRPr="00987923">
              <w:rPr>
                <w:rFonts w:ascii="Trebuchet MS" w:hAnsi="Trebuchet MS"/>
                <w:b/>
                <w:sz w:val="22"/>
                <w:szCs w:val="22"/>
                <w:lang w:val="ro-RO"/>
              </w:rPr>
              <w:t>Soluţii inovative pentru o agricultură/industrie alimentară competitivă în teritoriul GAL</w:t>
            </w:r>
          </w:p>
        </w:tc>
      </w:tr>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Codul măsurii</w:t>
            </w:r>
          </w:p>
        </w:tc>
        <w:tc>
          <w:tcPr>
            <w:tcW w:w="3538" w:type="pct"/>
            <w:vAlign w:val="center"/>
          </w:tcPr>
          <w:p w:rsidR="007214C7" w:rsidRPr="00987923" w:rsidRDefault="007214C7" w:rsidP="00493D6D">
            <w:pPr>
              <w:widowControl w:val="0"/>
              <w:autoSpaceDE w:val="0"/>
              <w:autoSpaceDN w:val="0"/>
              <w:adjustRightInd w:val="0"/>
              <w:spacing w:line="276" w:lineRule="auto"/>
              <w:rPr>
                <w:rFonts w:ascii="Trebuchet MS" w:hAnsi="Trebuchet MS" w:cs="Trebuchet MS"/>
                <w:b/>
                <w:bCs/>
                <w:sz w:val="22"/>
                <w:szCs w:val="22"/>
              </w:rPr>
            </w:pPr>
            <w:r w:rsidRPr="00987923">
              <w:rPr>
                <w:rFonts w:ascii="Trebuchet MS" w:hAnsi="Trebuchet MS" w:cs="Trebuchet MS"/>
                <w:b/>
                <w:bCs/>
                <w:sz w:val="22"/>
                <w:szCs w:val="22"/>
              </w:rPr>
              <w:t>M1 / 2A</w:t>
            </w:r>
          </w:p>
        </w:tc>
      </w:tr>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Tipul măsurii</w:t>
            </w:r>
          </w:p>
        </w:tc>
        <w:tc>
          <w:tcPr>
            <w:tcW w:w="3538" w:type="pct"/>
            <w:vAlign w:val="center"/>
          </w:tcPr>
          <w:p w:rsidR="007214C7" w:rsidRPr="00987923" w:rsidRDefault="007214C7" w:rsidP="00493D6D">
            <w:pPr>
              <w:widowControl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X</w:t>
            </w:r>
            <w:r w:rsidRPr="00987923">
              <w:rPr>
                <w:rFonts w:ascii="Trebuchet MS" w:hAnsi="Trebuchet MS" w:cs="Trebuchet MS"/>
                <w:bCs/>
                <w:sz w:val="22"/>
                <w:szCs w:val="22"/>
              </w:rPr>
              <w:t xml:space="preserve"> Investiții</w:t>
            </w:r>
          </w:p>
          <w:p w:rsidR="007214C7" w:rsidRPr="00987923" w:rsidRDefault="007214C7" w:rsidP="00493D6D">
            <w:pPr>
              <w:widowControl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 xml:space="preserve">□ </w:t>
            </w:r>
            <w:r w:rsidRPr="00987923">
              <w:rPr>
                <w:rFonts w:ascii="Trebuchet MS" w:hAnsi="Trebuchet MS" w:cs="Trebuchet MS"/>
                <w:bCs/>
                <w:sz w:val="22"/>
                <w:szCs w:val="22"/>
              </w:rPr>
              <w:t>Servicii</w:t>
            </w:r>
          </w:p>
          <w:p w:rsidR="007214C7" w:rsidRPr="00987923" w:rsidRDefault="007214C7" w:rsidP="00493D6D">
            <w:pPr>
              <w:widowControl w:val="0"/>
              <w:overflowPunct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 xml:space="preserve">□ </w:t>
            </w:r>
            <w:r w:rsidRPr="00987923">
              <w:rPr>
                <w:rFonts w:ascii="Trebuchet MS" w:hAnsi="Trebuchet MS" w:cs="Trebuchet MS"/>
                <w:bCs/>
                <w:sz w:val="22"/>
                <w:szCs w:val="22"/>
              </w:rPr>
              <w:t>Sprijin forfetar</w:t>
            </w:r>
          </w:p>
        </w:tc>
      </w:tr>
      <w:tr w:rsidR="007214C7" w:rsidRPr="00987923" w:rsidTr="00493D6D">
        <w:tc>
          <w:tcPr>
            <w:tcW w:w="5000" w:type="pct"/>
            <w:gridSpan w:val="2"/>
            <w:vAlign w:val="center"/>
          </w:tcPr>
          <w:p w:rsidR="007214C7" w:rsidRPr="00987923" w:rsidRDefault="007214C7" w:rsidP="00493D6D">
            <w:pPr>
              <w:widowControl w:val="0"/>
              <w:overflowPunct w:val="0"/>
              <w:autoSpaceDE w:val="0"/>
              <w:autoSpaceDN w:val="0"/>
              <w:adjustRightInd w:val="0"/>
              <w:spacing w:line="276" w:lineRule="auto"/>
              <w:ind w:right="20"/>
              <w:jc w:val="both"/>
              <w:rPr>
                <w:rFonts w:ascii="Trebuchet MS" w:hAnsi="Trebuchet MS"/>
                <w:b/>
                <w:sz w:val="22"/>
                <w:szCs w:val="22"/>
              </w:rPr>
            </w:pPr>
            <w:r w:rsidRPr="00987923">
              <w:rPr>
                <w:rFonts w:ascii="Trebuchet MS" w:hAnsi="Trebuchet MS"/>
                <w:b/>
                <w:sz w:val="22"/>
                <w:szCs w:val="22"/>
              </w:rPr>
              <w:t xml:space="preserve">1.Descrierea generală a măsurii </w:t>
            </w:r>
            <w:r w:rsidRPr="00987923">
              <w:rPr>
                <w:rFonts w:ascii="Trebuchet MS" w:hAnsi="Trebuchet MS" w:cs="Trebuchet MS"/>
                <w:b/>
                <w:bCs/>
                <w:sz w:val="22"/>
                <w:szCs w:val="22"/>
              </w:rPr>
              <w:t xml:space="preserve">, inclusiv a logicii de intervenție a acesteia și a contribuției la prioritățile strategiei, la domeniile de intervenție, la obiectivele transversale și a complementarității cu alte măsuri din SDL </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sz w:val="22"/>
                <w:szCs w:val="22"/>
              </w:rPr>
              <w:t>1.1 Justificare. Corelare cu analiza SWOT</w:t>
            </w:r>
          </w:p>
        </w:tc>
      </w:tr>
      <w:tr w:rsidR="007214C7" w:rsidRPr="00987923" w:rsidTr="00493D6D">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xml:space="preserve">Agricultura are o importanţă deosebită în economia GAL Sud-Vest Satu Mare, aspectul determinant fiind ocuparea unei treimi a populaţiei active în această ramură a economiei naţionale. Majoritatea fermelor individuale se caracterizează printr-o putere economică redusă şi orientare spre consum din producţia proprie, având mai mult caracter de subzistenţă şi semi-subzistenţă. După modul de folosinţă, în structura suprafeţei fondului funciar  (aproximativ 128 mii hectare) predomină terenurile agricole (80% din total în anul 2014); din suprafaţa totală ocupată cu terenuri agricole, 79% sunt terenuri arabile.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Deşi la nivelul teritoriului există un potenţial agricol deosebit, se remarcă încă o insuficientă diversificare a culturilor agricole, în special a celor horticole, energetice, în sectorul creşterii animalelor, a practicării agriculturii ecologice, a culturilor apicole, pentru a veni în întâmpinarea cerinţelor pieţei prin diversificarea gamei sortimentale a producţiei şi prin îmbunătăţirea activităţii de marketing. Cele mai răspândite tipuri de culturi agricole în anul 2014 au fost cele de porumb boabe (aproximativ 30% din totalul culturilor agricole), grâu (21,5%) şi floarea soarelui (12%); fâneţele permanente şi păşunile au ocupat aproximativ 16,5% din totalul culturilor agricole. Suprafeţe importante au fost dedicate şi culturilor de fructe şi legume: în anul 2014 au fost 1.150 hectare cultivate cu cartofi, 770 hectare cultivate cu legume proaspete, pepeni şi căpşuni (pe câmp, respectiv în spaţii protejate), 364 hectare cu plantaţii de pomi şi arbuşti fructiferi, iar 337 hectare au fost destinate culturilor de zarzavat de grădină.În unităţile administrativ-teritoriale din GAL Sud-Vest</w:t>
            </w:r>
            <w:r>
              <w:rPr>
                <w:rFonts w:ascii="Trebuchet MS" w:hAnsi="Trebuchet MS"/>
                <w:sz w:val="22"/>
                <w:szCs w:val="22"/>
              </w:rPr>
              <w:t xml:space="preserve"> Satu Mare</w:t>
            </w:r>
            <w:r w:rsidRPr="00987923">
              <w:rPr>
                <w:rFonts w:ascii="Trebuchet MS" w:hAnsi="Trebuchet MS"/>
                <w:sz w:val="22"/>
                <w:szCs w:val="22"/>
              </w:rPr>
              <w:t>, creşterea animalelor se realizează mai degrabă la nivelul gospodăriilor individuale decât în ferme. Zootehnia are o pondere din ce în ce mai redusă în economia locală, în legătură directă şi cu productivitatea scăzută a acestui sector, chiar dacă există spaţii încă puţin exploatate adecvate creşterii animalelor.</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În cadrul acestei măsuri vor fi sprijinite investiţiile orientate spre creşterea competitivităţii exploataţiilor agricole prin dotarea cu utilaje şi echipamente performante în raport cu structura agricolă actuală pe teritoriul GAL-ului, precum şi investiţiile pentru modernizarea fermelor (prioritate va fi acordată celor de dimensiuni medii şi asocierilor de ferme mici și medii) și îmbunătațirea calității activelor fixe.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 asemenea, în cadrul acestei măsuri, se va acorda sprijin pentru procesarea la nivelul fermei a produselor agricole.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Deși la nivel individual, sunt eligibile exploatațiile agricole cu dimensiunea economică de peste 8.000 € SO, prin intermediul formelor asociative, sprijinul poate fi accesat de toate exploatațiile agricole, chiar dacă acestea au o dimensiune economică sub 8.000 € SO:</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Sprijinul va prioritiza fermele de dimensiuni mici și medii (adică exploatatiile agricole având dimensiunea economică între 8.000 – 250.000 euro € SO valoarea productiei standard) și formele asociative ale fermelor de mici dimensiuni și medii cu scopul stimulării consolidării exploatațiilor agricole.Ferma mică, în accepțiunea acestui program, este exploatația agricolă având dimensiunea economică între 8000 -11999 euro € SO, valoarea producției standard.</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lastRenderedPageBreak/>
              <w:t>1.2. Obiectivele de dezvoltare rurală (conform Reg.(UE) 1305/2013, art.4).</w:t>
            </w:r>
          </w:p>
        </w:tc>
      </w:tr>
      <w:tr w:rsidR="007214C7" w:rsidRPr="00987923" w:rsidTr="00493D6D">
        <w:trPr>
          <w:trHeight w:val="331"/>
        </w:trPr>
        <w:tc>
          <w:tcPr>
            <w:tcW w:w="5000" w:type="pct"/>
            <w:gridSpan w:val="2"/>
            <w:vAlign w:val="center"/>
          </w:tcPr>
          <w:p w:rsidR="007214C7" w:rsidRPr="00987923" w:rsidRDefault="007214C7" w:rsidP="00493D6D">
            <w:pPr>
              <w:tabs>
                <w:tab w:val="left" w:pos="231"/>
              </w:tabs>
              <w:spacing w:line="276" w:lineRule="auto"/>
              <w:contextualSpacing/>
              <w:rPr>
                <w:rFonts w:ascii="Trebuchet MS" w:hAnsi="Trebuchet MS"/>
                <w:sz w:val="22"/>
                <w:szCs w:val="22"/>
              </w:rPr>
            </w:pPr>
            <w:r w:rsidRPr="00987923">
              <w:rPr>
                <w:rFonts w:ascii="Trebuchet MS" w:hAnsi="Trebuchet MS"/>
                <w:sz w:val="22"/>
                <w:szCs w:val="22"/>
              </w:rPr>
              <w:t>i) Favorizarea competitivității agriculturii</w:t>
            </w:r>
          </w:p>
        </w:tc>
      </w:tr>
      <w:tr w:rsidR="007214C7" w:rsidRPr="00987923" w:rsidTr="00493D6D">
        <w:trPr>
          <w:trHeight w:val="452"/>
        </w:trPr>
        <w:tc>
          <w:tcPr>
            <w:tcW w:w="5000" w:type="pct"/>
            <w:gridSpan w:val="2"/>
            <w:vAlign w:val="center"/>
          </w:tcPr>
          <w:p w:rsidR="007214C7" w:rsidRPr="00987923" w:rsidRDefault="007214C7" w:rsidP="00493D6D">
            <w:pPr>
              <w:pStyle w:val="Default"/>
              <w:spacing w:line="276" w:lineRule="auto"/>
              <w:rPr>
                <w:rFonts w:ascii="Trebuchet MS" w:hAnsi="Trebuchet MS"/>
                <w:sz w:val="22"/>
                <w:szCs w:val="22"/>
              </w:rPr>
            </w:pPr>
            <w:r w:rsidRPr="00987923">
              <w:rPr>
                <w:rFonts w:ascii="Trebuchet MS" w:hAnsi="Trebuchet MS"/>
                <w:sz w:val="22"/>
                <w:szCs w:val="22"/>
              </w:rPr>
              <w:t>1.3.Obiectiv(e) specific(e) al(e) măsurii</w:t>
            </w:r>
          </w:p>
        </w:tc>
      </w:tr>
      <w:tr w:rsidR="007214C7" w:rsidRPr="00987923" w:rsidTr="00493D6D">
        <w:trPr>
          <w:trHeight w:val="710"/>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Obiectivele specifice propuse pentru această măsură vizează:</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Îmbunătăţirea performanţelor generale ale exploataţiilor agricole prin creşterea competitivităţii activităţii agricole, a diversificării activităților agricole şi creșterii  calităţii produselor obţinute; </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Restructurarea exploatațiilor de dimensiuni mici și medii și transformarea acestora în exploatații comerciale;</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Respectarea standardelor comunitare aplicabile tuturor tipurilor de investiţii;</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 xml:space="preserve">Creşterea valorii adăugate a produselor agricole prin procesarea produselor la nivelul fermei şi comercializarea directă a acestora în vederea creării și promovării lanțurilor alimentare integrate.  </w:t>
            </w:r>
          </w:p>
        </w:tc>
      </w:tr>
      <w:tr w:rsidR="007214C7" w:rsidRPr="00987923" w:rsidTr="00493D6D">
        <w:trPr>
          <w:trHeight w:val="710"/>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1.4.</w:t>
            </w:r>
            <w:r w:rsidRPr="00987923">
              <w:rPr>
                <w:rFonts w:ascii="Trebuchet MS" w:hAnsi="Trebuchet MS" w:cs="Trebuchet MS"/>
                <w:sz w:val="22"/>
                <w:szCs w:val="22"/>
              </w:rPr>
              <w:t xml:space="preserve"> </w:t>
            </w:r>
            <w:r w:rsidRPr="00987923">
              <w:rPr>
                <w:rFonts w:ascii="Trebuchet MS" w:hAnsi="Trebuchet MS"/>
                <w:sz w:val="22"/>
                <w:szCs w:val="22"/>
              </w:rPr>
              <w:t>Măsura contribuie la prioritatea/prioritățile prevăzute la art. 5, Reg. (UE) nr. 1305/2013: P2</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bCs/>
                <w:sz w:val="22"/>
                <w:szCs w:val="22"/>
              </w:rPr>
            </w:pPr>
            <w:r w:rsidRPr="00987923">
              <w:rPr>
                <w:rFonts w:ascii="Trebuchet MS" w:hAnsi="Trebuchet MS"/>
                <w:bCs/>
                <w:sz w:val="22"/>
                <w:szCs w:val="22"/>
              </w:rPr>
              <w:t>P2: Creșterea viabilității exploatațiilor și a competitivității tuturor tipurilor de agricultură în toate regiunile și promovarea tehnologiilor agricole inovatoare și a gestionării durabile a pădurilor</w:t>
            </w:r>
          </w:p>
        </w:tc>
      </w:tr>
      <w:tr w:rsidR="007214C7" w:rsidRPr="00987923" w:rsidTr="00493D6D">
        <w:tc>
          <w:tcPr>
            <w:tcW w:w="5000" w:type="pct"/>
            <w:gridSpan w:val="2"/>
            <w:vAlign w:val="center"/>
          </w:tcPr>
          <w:p w:rsidR="007214C7" w:rsidRPr="00987923" w:rsidRDefault="007214C7" w:rsidP="00493D6D">
            <w:pPr>
              <w:pStyle w:val="Default"/>
              <w:spacing w:line="276" w:lineRule="auto"/>
              <w:rPr>
                <w:rFonts w:ascii="Trebuchet MS" w:hAnsi="Trebuchet MS"/>
                <w:bCs/>
                <w:sz w:val="22"/>
                <w:szCs w:val="22"/>
              </w:rPr>
            </w:pPr>
            <w:r w:rsidRPr="00987923">
              <w:rPr>
                <w:rFonts w:ascii="Trebuchet MS" w:hAnsi="Trebuchet MS"/>
                <w:sz w:val="22"/>
                <w:szCs w:val="22"/>
              </w:rPr>
              <w:t>1.5  Măsura corespunde obiectivelor art. 17 din Reg. (UE) nr. 1305/2013</w:t>
            </w:r>
          </w:p>
        </w:tc>
      </w:tr>
      <w:tr w:rsidR="007214C7" w:rsidRPr="00987923" w:rsidTr="00493D6D">
        <w:trPr>
          <w:trHeight w:val="327"/>
        </w:trPr>
        <w:tc>
          <w:tcPr>
            <w:tcW w:w="5000" w:type="pct"/>
            <w:gridSpan w:val="2"/>
            <w:shd w:val="clear" w:color="auto" w:fill="auto"/>
            <w:vAlign w:val="center"/>
          </w:tcPr>
          <w:p w:rsidR="007214C7" w:rsidRPr="00987923" w:rsidRDefault="007214C7" w:rsidP="00493D6D">
            <w:pPr>
              <w:spacing w:line="276" w:lineRule="auto"/>
              <w:contextualSpacing/>
              <w:jc w:val="both"/>
              <w:rPr>
                <w:rFonts w:ascii="Trebuchet MS" w:hAnsi="Trebuchet MS"/>
                <w:i/>
                <w:sz w:val="22"/>
                <w:szCs w:val="22"/>
              </w:rPr>
            </w:pPr>
            <w:r w:rsidRPr="00987923">
              <w:rPr>
                <w:rFonts w:ascii="Trebuchet MS" w:hAnsi="Trebuchet MS"/>
                <w:sz w:val="22"/>
                <w:szCs w:val="22"/>
              </w:rPr>
              <w:t>Articolul 17 – Investiţii în active fizice</w:t>
            </w:r>
          </w:p>
        </w:tc>
      </w:tr>
      <w:tr w:rsidR="007214C7" w:rsidRPr="00987923" w:rsidTr="00493D6D">
        <w:trPr>
          <w:trHeight w:val="405"/>
        </w:trPr>
        <w:tc>
          <w:tcPr>
            <w:tcW w:w="5000" w:type="pct"/>
            <w:gridSpan w:val="2"/>
            <w:shd w:val="clear" w:color="auto" w:fill="auto"/>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1.6. Măsura contribuie la Domeniul de intervenție 2A</w:t>
            </w:r>
          </w:p>
        </w:tc>
      </w:tr>
      <w:tr w:rsidR="007214C7" w:rsidRPr="00987923" w:rsidTr="00493D6D">
        <w:trPr>
          <w:trHeight w:val="545"/>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2A)Îmbunătățirea performanței economice a tuturor exploatațiilor agricole și facilitarea restructurării și modernizării exploatațiilor, în special în vederea sporirii participării pe piață și a orientării spre piață, precum și a diversificării activităților agricole</w:t>
            </w:r>
          </w:p>
        </w:tc>
      </w:tr>
      <w:tr w:rsidR="007214C7" w:rsidRPr="00987923" w:rsidTr="00493D6D">
        <w:trPr>
          <w:trHeight w:val="383"/>
        </w:trPr>
        <w:tc>
          <w:tcPr>
            <w:tcW w:w="5000" w:type="pct"/>
            <w:gridSpan w:val="2"/>
            <w:vAlign w:val="center"/>
          </w:tcPr>
          <w:p w:rsidR="007214C7" w:rsidRPr="00987923" w:rsidRDefault="007214C7" w:rsidP="00493D6D">
            <w:pPr>
              <w:pStyle w:val="Default"/>
              <w:spacing w:line="276" w:lineRule="auto"/>
              <w:rPr>
                <w:rFonts w:ascii="Trebuchet MS" w:hAnsi="Trebuchet MS"/>
                <w:sz w:val="22"/>
                <w:szCs w:val="22"/>
              </w:rPr>
            </w:pPr>
            <w:r w:rsidRPr="00987923">
              <w:rPr>
                <w:rFonts w:ascii="Trebuchet MS" w:hAnsi="Trebuchet MS"/>
                <w:sz w:val="22"/>
                <w:szCs w:val="22"/>
              </w:rPr>
              <w:t xml:space="preserve">1.7. </w:t>
            </w:r>
            <w:r w:rsidRPr="00987923">
              <w:rPr>
                <w:rFonts w:ascii="Trebuchet MS" w:hAnsi="Trebuchet MS" w:cs="Trebuchet MS"/>
                <w:sz w:val="22"/>
                <w:szCs w:val="22"/>
              </w:rPr>
              <w:t xml:space="preserve">Măsura contribuie la </w:t>
            </w:r>
            <w:r w:rsidRPr="00987923">
              <w:rPr>
                <w:rFonts w:ascii="Trebuchet MS" w:hAnsi="Trebuchet MS"/>
                <w:sz w:val="22"/>
                <w:szCs w:val="22"/>
              </w:rPr>
              <w:t>obiectivele transversale ale Reg.(UE) 1305/2013</w:t>
            </w:r>
          </w:p>
        </w:tc>
      </w:tr>
      <w:tr w:rsidR="007214C7" w:rsidRPr="00987923" w:rsidTr="00493D6D">
        <w:trPr>
          <w:trHeight w:val="1367"/>
        </w:trPr>
        <w:tc>
          <w:tcPr>
            <w:tcW w:w="5000" w:type="pct"/>
            <w:gridSpan w:val="2"/>
            <w:vAlign w:val="center"/>
          </w:tcPr>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Inovare – Măsura va contribui la stimularea inovării în teritoriu prin atragerea în sectorul agricol a know-how-ului şi a resursei umane cu calificare relevantă pentru condiţiile actuale de pe piaţa muncii. Inovare prin introducerea unor tehnologii ce vor facilita dezvoltarea de noi procese şi produse finite.</w:t>
            </w:r>
          </w:p>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 xml:space="preserve">Mediu şi climă – Măsura va include investiţii cu impact redus asupra mediului </w:t>
            </w:r>
          </w:p>
        </w:tc>
      </w:tr>
      <w:tr w:rsidR="007214C7" w:rsidRPr="00987923" w:rsidTr="00493D6D">
        <w:trPr>
          <w:trHeight w:val="352"/>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1.8 Complementaritatea cu alte măsuri din SDL</w:t>
            </w:r>
          </w:p>
        </w:tc>
      </w:tr>
      <w:tr w:rsidR="007214C7" w:rsidRPr="00126D46" w:rsidTr="00493D6D">
        <w:tc>
          <w:tcPr>
            <w:tcW w:w="5000" w:type="pct"/>
            <w:gridSpan w:val="2"/>
            <w:vAlign w:val="center"/>
          </w:tcPr>
          <w:p w:rsidR="007214C7" w:rsidRDefault="007214C7" w:rsidP="00493D6D">
            <w:pPr>
              <w:spacing w:line="276" w:lineRule="auto"/>
              <w:rPr>
                <w:rFonts w:ascii="Trebuchet MS" w:hAnsi="Trebuchet MS"/>
                <w:sz w:val="22"/>
                <w:szCs w:val="22"/>
              </w:rPr>
            </w:pPr>
            <w:r w:rsidRPr="00987923">
              <w:rPr>
                <w:rFonts w:ascii="Trebuchet MS" w:hAnsi="Trebuchet MS"/>
                <w:b/>
                <w:sz w:val="22"/>
                <w:szCs w:val="22"/>
              </w:rPr>
              <w:t>M2/3A</w:t>
            </w:r>
            <w:r w:rsidRPr="00987923">
              <w:rPr>
                <w:rFonts w:ascii="Trebuchet MS" w:hAnsi="Trebuchet MS"/>
                <w:sz w:val="22"/>
                <w:szCs w:val="22"/>
              </w:rPr>
              <w:t xml:space="preserve">  Sprijin pentru înfiinţarea şi dezvoltarea structurilor asociative</w:t>
            </w:r>
          </w:p>
          <w:p w:rsidR="007214C7" w:rsidRPr="00943CF7" w:rsidRDefault="007214C7" w:rsidP="00493D6D">
            <w:pPr>
              <w:spacing w:line="276" w:lineRule="auto"/>
              <w:rPr>
                <w:rFonts w:ascii="Trebuchet MS" w:hAnsi="Trebuchet MS"/>
                <w:sz w:val="22"/>
                <w:szCs w:val="22"/>
              </w:rPr>
            </w:pPr>
            <w:r w:rsidRPr="00943CF7">
              <w:rPr>
                <w:rFonts w:ascii="Trebuchet MS" w:hAnsi="Trebuchet MS"/>
                <w:b/>
                <w:sz w:val="22"/>
                <w:szCs w:val="22"/>
              </w:rPr>
              <w:t>M3/6A</w:t>
            </w:r>
            <w:r w:rsidRPr="00943CF7">
              <w:rPr>
                <w:rFonts w:ascii="Trebuchet MS" w:hAnsi="Trebuchet MS"/>
                <w:sz w:val="22"/>
                <w:szCs w:val="22"/>
              </w:rPr>
              <w:t xml:space="preserve"> Înfiinţarea de activităţi non-agricole în teritoriu</w:t>
            </w:r>
          </w:p>
          <w:p w:rsidR="007214C7" w:rsidRPr="00126D46" w:rsidRDefault="007214C7" w:rsidP="00493D6D">
            <w:pPr>
              <w:spacing w:line="276" w:lineRule="auto"/>
              <w:rPr>
                <w:rFonts w:ascii="Trebuchet MS" w:hAnsi="Trebuchet MS"/>
                <w:color w:val="FF0000"/>
                <w:sz w:val="22"/>
                <w:szCs w:val="22"/>
              </w:rPr>
            </w:pPr>
            <w:r w:rsidRPr="00943CF7">
              <w:rPr>
                <w:rFonts w:ascii="Trebuchet MS" w:hAnsi="Trebuchet MS"/>
                <w:b/>
                <w:sz w:val="22"/>
                <w:szCs w:val="22"/>
              </w:rPr>
              <w:t>M4/6A</w:t>
            </w:r>
            <w:r w:rsidRPr="00943CF7">
              <w:rPr>
                <w:rFonts w:ascii="Trebuchet MS" w:hAnsi="Trebuchet MS"/>
                <w:sz w:val="22"/>
                <w:szCs w:val="22"/>
              </w:rPr>
              <w:t xml:space="preserve"> Investiţii în crearea şi dezvoltarea de activităţi non-agricole</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sz w:val="22"/>
                <w:szCs w:val="22"/>
              </w:rPr>
              <w:t>1.9  Sinergia cu alte măsuri din SDL</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Nu este cazul.</w:t>
            </w:r>
          </w:p>
        </w:tc>
      </w:tr>
      <w:tr w:rsidR="007214C7" w:rsidRPr="00987923" w:rsidTr="00493D6D">
        <w:trPr>
          <w:trHeight w:val="377"/>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2. Valoarea adăugată a măsurii</w:t>
            </w:r>
          </w:p>
        </w:tc>
      </w:tr>
      <w:tr w:rsidR="007214C7" w:rsidRPr="00987923" w:rsidTr="00493D6D">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 Stimularea agriculturii ca principală activitate economică din teritoriul GAL</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xml:space="preserve">- Păstrarea şi crearea de noi locuri de muncă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Prin sprijinirea formelor asociative și fermele sub 8.000 SO pot beneficia de sprijin</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Utilizarea know-how-ului de care dispune tineretul (prin creşterea nivelului competenţelor specifice ca urmare a studiilor de nivel mai înalt) sau populaţia reîntoarsă din străinătate (prin importarea de modele de bune practici, dar şi la crearea de noi locuri de muncă</w:t>
            </w:r>
          </w:p>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 Reducerea procentului populației aflată în raport de dependență financiară</w:t>
            </w:r>
          </w:p>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 Dezvoltarea şi modernizarea capacităţilor locale de procesare şi comercializare a producţiei locale de fructe şi legume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Includerea de tehnologii moderne pentru creşterea valorii adăugate a producţiei vegetale din teritoriu</w:t>
            </w:r>
          </w:p>
        </w:tc>
      </w:tr>
      <w:tr w:rsidR="007214C7" w:rsidRPr="00987923" w:rsidTr="00493D6D">
        <w:trPr>
          <w:trHeight w:val="281"/>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3. Trimiteri la alte acte legislative</w:t>
            </w:r>
          </w:p>
        </w:tc>
      </w:tr>
      <w:tr w:rsidR="007214C7" w:rsidRPr="00987923" w:rsidTr="00493D6D">
        <w:tc>
          <w:tcPr>
            <w:tcW w:w="5000" w:type="pct"/>
            <w:gridSpan w:val="2"/>
            <w:vAlign w:val="center"/>
          </w:tcPr>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-Legislaţia naţională cu incidenţă în domeniile activităţilor neagricole prevăzută în Ghidul Solicitantului pentru participarea la selecţia strategiilor de dezvoltare locală și PNDR</w:t>
            </w:r>
          </w:p>
          <w:p w:rsidR="007214C7" w:rsidRPr="00987923" w:rsidRDefault="007214C7" w:rsidP="00493D6D">
            <w:pPr>
              <w:pStyle w:val="ListParagraph"/>
              <w:tabs>
                <w:tab w:val="left" w:pos="270"/>
              </w:tabs>
              <w:spacing w:line="276" w:lineRule="auto"/>
              <w:ind w:left="0"/>
              <w:rPr>
                <w:rFonts w:ascii="Trebuchet MS" w:hAnsi="Trebuchet MS"/>
                <w:sz w:val="22"/>
                <w:szCs w:val="22"/>
              </w:rPr>
            </w:pPr>
            <w:r w:rsidRPr="00987923">
              <w:rPr>
                <w:rFonts w:ascii="Trebuchet MS" w:hAnsi="Trebuchet MS"/>
                <w:sz w:val="22"/>
                <w:szCs w:val="22"/>
              </w:rPr>
              <w:t xml:space="preserve">- Reg. (UE) 1303/2013, Reg. (UE) 1305/2013, Reg. (UE) nr. 1242/2008 </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bCs/>
                <w:sz w:val="22"/>
                <w:szCs w:val="22"/>
              </w:rPr>
            </w:pPr>
            <w:r w:rsidRPr="00987923">
              <w:rPr>
                <w:rFonts w:ascii="Trebuchet MS" w:hAnsi="Trebuchet MS"/>
                <w:sz w:val="22"/>
                <w:szCs w:val="22"/>
              </w:rPr>
              <w:t xml:space="preserve">- </w:t>
            </w:r>
            <w:r w:rsidRPr="00987923">
              <w:rPr>
                <w:rFonts w:ascii="Trebuchet MS" w:hAnsi="Trebuchet MS"/>
                <w:bCs/>
                <w:sz w:val="22"/>
                <w:szCs w:val="22"/>
              </w:rPr>
              <w:t>Legea cooperaţiei agricole nr.</w:t>
            </w:r>
            <w:r w:rsidRPr="00987923">
              <w:rPr>
                <w:rFonts w:ascii="Trebuchet MS" w:hAnsi="Trebuchet MS"/>
                <w:sz w:val="22"/>
                <w:szCs w:val="22"/>
              </w:rPr>
              <w:t xml:space="preserve"> </w:t>
            </w:r>
            <w:r w:rsidRPr="00987923">
              <w:rPr>
                <w:rFonts w:ascii="Trebuchet MS" w:hAnsi="Trebuchet MS"/>
                <w:bCs/>
                <w:sz w:val="22"/>
                <w:szCs w:val="22"/>
              </w:rPr>
              <w:t>566/2004, Legea nr.</w:t>
            </w:r>
            <w:r w:rsidRPr="00987923">
              <w:rPr>
                <w:rFonts w:ascii="Trebuchet MS" w:hAnsi="Trebuchet MS"/>
                <w:sz w:val="22"/>
                <w:szCs w:val="22"/>
              </w:rPr>
              <w:t xml:space="preserve"> </w:t>
            </w:r>
            <w:r w:rsidRPr="00987923">
              <w:rPr>
                <w:rFonts w:ascii="Trebuchet MS" w:hAnsi="Trebuchet MS"/>
                <w:bCs/>
                <w:sz w:val="22"/>
                <w:szCs w:val="22"/>
              </w:rPr>
              <w:t>1/2005, Ordonanța Guvernului nr.</w:t>
            </w:r>
            <w:r w:rsidRPr="00987923">
              <w:rPr>
                <w:rFonts w:ascii="Trebuchet MS" w:hAnsi="Trebuchet MS"/>
                <w:sz w:val="22"/>
                <w:szCs w:val="22"/>
              </w:rPr>
              <w:t xml:space="preserve"> </w:t>
            </w:r>
            <w:r w:rsidRPr="00987923">
              <w:rPr>
                <w:rFonts w:ascii="Trebuchet MS" w:hAnsi="Trebuchet MS"/>
                <w:bCs/>
                <w:sz w:val="22"/>
                <w:szCs w:val="22"/>
              </w:rPr>
              <w:t>37/2005</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sz w:val="22"/>
                <w:szCs w:val="22"/>
              </w:rPr>
            </w:pPr>
            <w:r w:rsidRPr="00987923">
              <w:rPr>
                <w:rFonts w:ascii="Trebuchet MS" w:hAnsi="Trebuchet MS"/>
                <w:sz w:val="22"/>
                <w:szCs w:val="22"/>
              </w:rPr>
              <w:t>- Legislaţia naţională cu incidenţă în domeniul agriculturii prevăzută în Ghidul Solicitantului pentru participarea la selecţia strategiilor de dezvoltare locală și PNDR</w:t>
            </w:r>
            <w:r w:rsidRPr="00987923">
              <w:rPr>
                <w:rFonts w:ascii="Trebuchet MS" w:hAnsi="Trebuchet MS"/>
                <w:bCs/>
                <w:sz w:val="22"/>
                <w:szCs w:val="22"/>
              </w:rPr>
              <w:t xml:space="preserve"> </w:t>
            </w:r>
          </w:p>
        </w:tc>
      </w:tr>
      <w:tr w:rsidR="007214C7" w:rsidRPr="00987923" w:rsidTr="00493D6D">
        <w:trPr>
          <w:trHeight w:val="319"/>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4. Beneficiari direcţi/indirecţi (grup ţintă)</w:t>
            </w:r>
          </w:p>
        </w:tc>
      </w:tr>
      <w:tr w:rsidR="007214C7" w:rsidRPr="00987923" w:rsidTr="00493D6D">
        <w:trPr>
          <w:trHeight w:val="266"/>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sz w:val="22"/>
                <w:szCs w:val="22"/>
              </w:rPr>
              <w:t>4.1. Beneficiari direcţi</w:t>
            </w:r>
          </w:p>
        </w:tc>
      </w:tr>
      <w:tr w:rsidR="007214C7" w:rsidRPr="00987923" w:rsidTr="00493D6D">
        <w:tc>
          <w:tcPr>
            <w:tcW w:w="5000" w:type="pct"/>
            <w:gridSpan w:val="2"/>
            <w:vAlign w:val="center"/>
          </w:tcPr>
          <w:p w:rsidR="007214C7" w:rsidRPr="00987923" w:rsidRDefault="007214C7" w:rsidP="007214C7">
            <w:pPr>
              <w:numPr>
                <w:ilvl w:val="0"/>
                <w:numId w:val="2"/>
              </w:numPr>
              <w:tabs>
                <w:tab w:val="left" w:pos="222"/>
              </w:tabs>
              <w:spacing w:line="276" w:lineRule="auto"/>
              <w:ind w:left="34" w:hanging="34"/>
              <w:rPr>
                <w:rFonts w:ascii="Trebuchet MS" w:hAnsi="Trebuchet MS"/>
                <w:sz w:val="22"/>
                <w:szCs w:val="22"/>
              </w:rPr>
            </w:pPr>
            <w:r w:rsidRPr="00987923">
              <w:rPr>
                <w:rFonts w:ascii="Trebuchet MS" w:hAnsi="Trebuchet MS"/>
                <w:sz w:val="22"/>
                <w:szCs w:val="22"/>
              </w:rPr>
              <w:t>Fermieri, cu excepția persoanelor fizice neautorizate ;</w:t>
            </w:r>
            <w:r>
              <w:rPr>
                <w:rFonts w:ascii="Trebuchet MS" w:hAnsi="Trebuchet MS"/>
                <w:sz w:val="22"/>
                <w:szCs w:val="22"/>
              </w:rPr>
              <w:t>(</w:t>
            </w:r>
            <w:r w:rsidRPr="00D762EB">
              <w:rPr>
                <w:rFonts w:ascii="Trebuchet MS" w:hAnsi="Trebuchet MS"/>
                <w:b/>
                <w:sz w:val="22"/>
                <w:szCs w:val="22"/>
              </w:rPr>
              <w:t>sunt beneficiari direcți la măsurile M3/6A și M4/6A</w:t>
            </w:r>
            <w:r>
              <w:rPr>
                <w:rFonts w:ascii="Trebuchet MS" w:hAnsi="Trebuchet MS"/>
                <w:sz w:val="22"/>
                <w:szCs w:val="22"/>
              </w:rPr>
              <w:t>)</w:t>
            </w:r>
          </w:p>
          <w:p w:rsidR="007214C7" w:rsidRPr="00987923" w:rsidRDefault="007214C7" w:rsidP="007214C7">
            <w:pPr>
              <w:numPr>
                <w:ilvl w:val="0"/>
                <w:numId w:val="2"/>
              </w:numPr>
              <w:tabs>
                <w:tab w:val="left" w:pos="222"/>
              </w:tabs>
              <w:spacing w:line="276" w:lineRule="auto"/>
              <w:ind w:left="34" w:hanging="34"/>
              <w:rPr>
                <w:rFonts w:ascii="Trebuchet MS" w:hAnsi="Trebuchet MS"/>
                <w:sz w:val="22"/>
                <w:szCs w:val="22"/>
              </w:rPr>
            </w:pPr>
            <w:r w:rsidRPr="00987923">
              <w:rPr>
                <w:rFonts w:ascii="Trebuchet MS" w:hAnsi="Trebuchet MS"/>
                <w:sz w:val="22"/>
                <w:szCs w:val="22"/>
              </w:rPr>
              <w:t>Cooperative (cooperativele agricole și societățile cooperative agricole), grupuri de producători, constituite în baza legislației naționale în vigoare care deservesc interesele membrilor;</w:t>
            </w:r>
            <w:r>
              <w:rPr>
                <w:rFonts w:ascii="Trebuchet MS" w:hAnsi="Trebuchet MS"/>
                <w:sz w:val="22"/>
                <w:szCs w:val="22"/>
              </w:rPr>
              <w:t xml:space="preserve"> </w:t>
            </w:r>
            <w:r w:rsidRPr="00D762EB">
              <w:rPr>
                <w:rFonts w:ascii="Trebuchet MS" w:hAnsi="Trebuchet MS"/>
                <w:b/>
                <w:sz w:val="22"/>
                <w:szCs w:val="22"/>
              </w:rPr>
              <w:t>( sunt beneficiari indirecți (grup țintă) la măsura M2/3A</w:t>
            </w:r>
            <w:r>
              <w:rPr>
                <w:rFonts w:ascii="Trebuchet MS" w:hAnsi="Trebuchet MS"/>
                <w:sz w:val="22"/>
                <w:szCs w:val="22"/>
              </w:rPr>
              <w:t>)</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color w:val="auto"/>
                <w:sz w:val="22"/>
                <w:szCs w:val="22"/>
              </w:rPr>
            </w:pPr>
            <w:r w:rsidRPr="00987923">
              <w:rPr>
                <w:rFonts w:ascii="Trebuchet MS" w:hAnsi="Trebuchet MS"/>
                <w:sz w:val="22"/>
                <w:szCs w:val="22"/>
              </w:rPr>
              <w:t>4.2. Beneficiarii indirecţi (grup țintă)</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 Populația la nivel de teritoriu</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Persoanele din categoria populaţiei active aflate în căutarea unui loc de muncă  </w:t>
            </w:r>
          </w:p>
        </w:tc>
      </w:tr>
      <w:tr w:rsidR="007214C7" w:rsidRPr="00987923" w:rsidTr="00493D6D">
        <w:trPr>
          <w:trHeight w:val="395"/>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5. Tip de sprijin (conform art.67 din Reg. (UE) nr.1303/2013)</w:t>
            </w:r>
          </w:p>
        </w:tc>
      </w:tr>
      <w:tr w:rsidR="007214C7" w:rsidRPr="00987923" w:rsidTr="00493D6D">
        <w:trPr>
          <w:trHeight w:val="350"/>
        </w:trPr>
        <w:tc>
          <w:tcPr>
            <w:tcW w:w="5000" w:type="pct"/>
            <w:gridSpan w:val="2"/>
            <w:vAlign w:val="center"/>
          </w:tcPr>
          <w:p w:rsidR="007214C7" w:rsidRPr="00987923" w:rsidRDefault="007214C7" w:rsidP="00493D6D">
            <w:pPr>
              <w:pStyle w:val="ListParagraph"/>
              <w:spacing w:line="276" w:lineRule="auto"/>
              <w:ind w:left="0"/>
              <w:jc w:val="both"/>
              <w:rPr>
                <w:rFonts w:ascii="Trebuchet MS" w:hAnsi="Trebuchet MS"/>
                <w:sz w:val="22"/>
                <w:szCs w:val="22"/>
              </w:rPr>
            </w:pPr>
            <w:r w:rsidRPr="00987923">
              <w:rPr>
                <w:rFonts w:ascii="Trebuchet MS" w:hAnsi="Trebuchet MS"/>
                <w:sz w:val="22"/>
                <w:szCs w:val="22"/>
              </w:rPr>
              <w:t xml:space="preserve">- Rambursare costurilor eligibile suportate și plătite efectiv </w:t>
            </w:r>
          </w:p>
          <w:p w:rsidR="007214C7" w:rsidRPr="00987923" w:rsidRDefault="007214C7" w:rsidP="00493D6D">
            <w:pPr>
              <w:pStyle w:val="ListParagraph"/>
              <w:tabs>
                <w:tab w:val="left" w:pos="360"/>
              </w:tabs>
              <w:spacing w:line="276" w:lineRule="auto"/>
              <w:ind w:left="0"/>
              <w:jc w:val="both"/>
              <w:rPr>
                <w:rFonts w:ascii="Trebuchet MS" w:hAnsi="Trebuchet MS"/>
                <w:sz w:val="22"/>
                <w:szCs w:val="22"/>
              </w:rPr>
            </w:pPr>
            <w:r w:rsidRPr="00987923">
              <w:rPr>
                <w:rFonts w:ascii="Trebuchet MS" w:hAnsi="Trebuchet MS"/>
                <w:sz w:val="22"/>
                <w:szCs w:val="22"/>
              </w:rPr>
              <w:t>- Plăţi în avans, cu condiţia constituirii unei garanţii echivalente corespunzătoare procentului de 100% din valoarea avansului, în conformitate cu art.45(4) şi art.63 ale Reg.(UE) nr. 1305/2013</w:t>
            </w:r>
          </w:p>
        </w:tc>
      </w:tr>
      <w:tr w:rsidR="007214C7" w:rsidRPr="00987923" w:rsidTr="00493D6D">
        <w:trPr>
          <w:trHeight w:val="243"/>
        </w:trPr>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b/>
                <w:sz w:val="22"/>
                <w:szCs w:val="22"/>
              </w:rPr>
              <w:t>6.Tipuri de acţiuni eligibile şi neeligibile</w:t>
            </w:r>
          </w:p>
        </w:tc>
      </w:tr>
      <w:tr w:rsidR="007214C7" w:rsidRPr="00987923" w:rsidTr="00493D6D">
        <w:trPr>
          <w:trHeight w:val="422"/>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6.1. Tipuri de acţiuni eligibile</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și modernizarea fermelor pomicole, inclusiv în înființarea și reconversia plantațiilor pomicole și modernizarea parcului de mașini și utilaje agricole;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Investiții în înființarea și modernizarea pepinierelor pomicole, inclusiv în creșterea suprafețelor ocupate de material săditor;</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Investiţii în active corporale din sectorul de procesare a produselor provenite din sectorul pomicol pentru</w:t>
            </w:r>
            <w:r w:rsidRPr="00987923">
              <w:rPr>
                <w:rFonts w:ascii="Trebuchet MS" w:hAnsi="Trebuchet MS" w:cs="Courier New"/>
                <w:sz w:val="22"/>
                <w:szCs w:val="22"/>
              </w:rPr>
              <w:t xml:space="preserve"> </w:t>
            </w:r>
            <w:r w:rsidRPr="00987923">
              <w:rPr>
                <w:rFonts w:ascii="Trebuchet MS" w:hAnsi="Trebuchet MS"/>
                <w:sz w:val="22"/>
                <w:szCs w:val="22"/>
              </w:rPr>
              <w:t>înființarea, extinderea și/sau modernizarea unităților ce procesează materie primă provenită din sectorul pomicol menționată în Anexa I de la TFUE;</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lastRenderedPageBreak/>
              <w:t>- Investiții în procesarea produselor agricole la nivel de fermă</w:t>
            </w:r>
            <w:r w:rsidRPr="00987923">
              <w:rPr>
                <w:rFonts w:ascii="Trebuchet MS" w:hAnsi="Trebuchet MS"/>
                <w:b/>
                <w:bCs/>
                <w:sz w:val="22"/>
                <w:szCs w:val="22"/>
              </w:rPr>
              <w:t xml:space="preserve">, </w:t>
            </w:r>
            <w:r w:rsidRPr="00987923">
              <w:rPr>
                <w:rFonts w:ascii="Trebuchet MS" w:hAnsi="Trebuchet MS"/>
                <w:sz w:val="22"/>
                <w:szCs w:val="22"/>
              </w:rPr>
              <w:t xml:space="preserve">precum și investiții în vederea comercializării; investițiile de procesare la nivelul fermei vor fi realizate doar împreună cu investițiile în înființarea/modernizarea/dezvoltarea fermei (considerate ca fiind proiecte ce vizează un lanț alimentar integrat și adăugarea de plus valoare la nivel de fermă).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extinderea şi/sau modernizarea fermelor zootehnice/vegetale, inclusiv capacități de stocare, condiționare, sortare, ambalare a producției vegetale pentru creșterea valorii adăugate a produselor;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Înființare şi/sau modernizarea căilor de acces în cadrul fermei, inclusiv utilităţi şi racordări;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şi/sau modernizarea instalaţiilor pentru irigaţii în cadrul fermei, inclusiv facilități de stocare a apei la nivel de fermă, cu condiția ca acestea să reprezinte o componentă secundară înt-un proiect de investiții la nivel de fermă;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instalații pentru producerea de energie electrică și/sau termică, prin utilizarea biomasei (din deșeuri/produse secundare rezultate din activitatea agricolă și/ sau forestieră atât din ferma proprie cât și din afara fermei), ca şi componentă secundară în cadrul unui proiect de investiţii, iar energia obținută va fi destinată exclusiv consumului propriu;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Înființarea, extinderea și/sau modernizarea și dotarea unităților de procesare fixe/mobile, inclusiv investiții privind marketingul produselor (ex. etichetare, ambalare);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Acţiuni de marketing; </w:t>
            </w:r>
          </w:p>
          <w:p w:rsidR="007214C7" w:rsidRPr="00987923" w:rsidRDefault="007214C7" w:rsidP="00493D6D">
            <w:pPr>
              <w:pStyle w:val="Default"/>
              <w:spacing w:line="276" w:lineRule="auto"/>
              <w:jc w:val="both"/>
              <w:rPr>
                <w:rFonts w:ascii="Trebuchet MS" w:hAnsi="Trebuchet MS"/>
                <w:b/>
                <w:color w:val="C0504D"/>
                <w:sz w:val="22"/>
                <w:szCs w:val="22"/>
              </w:rPr>
            </w:pPr>
            <w:r w:rsidRPr="00987923">
              <w:rPr>
                <w:rFonts w:ascii="Trebuchet MS" w:hAnsi="Trebuchet MS"/>
                <w:sz w:val="22"/>
                <w:szCs w:val="22"/>
              </w:rPr>
              <w:t xml:space="preserve">- Investiții necorporale: achiziționarea sau dezvoltarea de software și achiziționarea de brevete, licențe, drepturi de autor, mărci în conformitate cu la art 45 (2) (d) din Reg. 1305/2013 </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b/>
                <w:bCs/>
                <w:color w:val="auto"/>
                <w:sz w:val="22"/>
                <w:szCs w:val="22"/>
              </w:rPr>
            </w:pPr>
            <w:r w:rsidRPr="00987923">
              <w:rPr>
                <w:rFonts w:ascii="Trebuchet MS" w:hAnsi="Trebuchet MS"/>
                <w:b/>
                <w:sz w:val="22"/>
                <w:szCs w:val="22"/>
              </w:rPr>
              <w:lastRenderedPageBreak/>
              <w:t>6.2. Tipuri de acţiuni neeligibile</w:t>
            </w:r>
          </w:p>
        </w:tc>
      </w:tr>
      <w:tr w:rsidR="007214C7" w:rsidRPr="00987923" w:rsidTr="00493D6D">
        <w:tc>
          <w:tcPr>
            <w:tcW w:w="5000" w:type="pct"/>
            <w:gridSpan w:val="2"/>
            <w:vAlign w:val="center"/>
          </w:tcPr>
          <w:p w:rsidR="007214C7" w:rsidRPr="00987923" w:rsidRDefault="007214C7" w:rsidP="00493D6D">
            <w:pPr>
              <w:pStyle w:val="ListParagraph"/>
              <w:tabs>
                <w:tab w:val="left" w:pos="1410"/>
                <w:tab w:val="center" w:pos="4680"/>
              </w:tabs>
              <w:spacing w:line="276" w:lineRule="auto"/>
              <w:ind w:left="0"/>
              <w:jc w:val="both"/>
              <w:rPr>
                <w:rFonts w:ascii="Trebuchet MS" w:hAnsi="Trebuchet MS"/>
                <w:b/>
                <w:sz w:val="22"/>
                <w:szCs w:val="22"/>
              </w:rPr>
            </w:pPr>
            <w:r w:rsidRPr="00987923">
              <w:rPr>
                <w:rFonts w:ascii="Trebuchet MS" w:hAnsi="Trebuchet MS"/>
                <w:b/>
                <w:sz w:val="22"/>
                <w:szCs w:val="22"/>
              </w:rPr>
              <w:t>Cheltuieli neeligibile</w:t>
            </w:r>
          </w:p>
          <w:p w:rsidR="007214C7" w:rsidRPr="00987923" w:rsidRDefault="007214C7" w:rsidP="007214C7">
            <w:pPr>
              <w:pStyle w:val="ListParagraph"/>
              <w:numPr>
                <w:ilvl w:val="0"/>
                <w:numId w:val="2"/>
              </w:numPr>
              <w:tabs>
                <w:tab w:val="left" w:pos="270"/>
              </w:tabs>
              <w:spacing w:line="276" w:lineRule="auto"/>
              <w:ind w:left="459"/>
              <w:rPr>
                <w:rFonts w:ascii="Trebuchet MS" w:hAnsi="Trebuchet MS"/>
                <w:sz w:val="22"/>
                <w:szCs w:val="22"/>
              </w:rPr>
            </w:pPr>
            <w:r w:rsidRPr="00987923">
              <w:rPr>
                <w:rFonts w:ascii="Trebuchet MS" w:hAnsi="Trebuchet MS"/>
                <w:sz w:val="22"/>
                <w:szCs w:val="22"/>
              </w:rPr>
              <w:t xml:space="preserve">  achiziţionarea de utilaje sau echipamente second hand</w:t>
            </w:r>
          </w:p>
          <w:p w:rsidR="007214C7" w:rsidRPr="00987923" w:rsidRDefault="007214C7" w:rsidP="007214C7">
            <w:pPr>
              <w:pStyle w:val="Default"/>
              <w:numPr>
                <w:ilvl w:val="0"/>
                <w:numId w:val="2"/>
              </w:numPr>
              <w:spacing w:line="276" w:lineRule="auto"/>
              <w:ind w:left="459"/>
              <w:jc w:val="both"/>
              <w:rPr>
                <w:rFonts w:ascii="Trebuchet MS" w:hAnsi="Trebuchet MS"/>
                <w:sz w:val="22"/>
                <w:szCs w:val="22"/>
              </w:rPr>
            </w:pPr>
            <w:r w:rsidRPr="00987923">
              <w:rPr>
                <w:rFonts w:ascii="Trebuchet MS" w:hAnsi="Trebuchet MS"/>
                <w:sz w:val="22"/>
                <w:szCs w:val="22"/>
                <w:lang w:val="ro-RO"/>
              </w:rPr>
              <w:t>achiziţionarea de teren şi/sau imobile</w:t>
            </w:r>
          </w:p>
        </w:tc>
      </w:tr>
      <w:tr w:rsidR="007214C7" w:rsidRPr="00987923" w:rsidTr="00493D6D">
        <w:trPr>
          <w:trHeight w:val="377"/>
        </w:trPr>
        <w:tc>
          <w:tcPr>
            <w:tcW w:w="5000" w:type="pct"/>
            <w:gridSpan w:val="2"/>
            <w:vAlign w:val="center"/>
          </w:tcPr>
          <w:p w:rsidR="007214C7" w:rsidRPr="00987923" w:rsidRDefault="007214C7" w:rsidP="007214C7">
            <w:pPr>
              <w:pStyle w:val="ListParagraph"/>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t xml:space="preserve">Condiţii de eligibilitate </w:t>
            </w:r>
          </w:p>
        </w:tc>
      </w:tr>
      <w:tr w:rsidR="007214C7" w:rsidRPr="00987923" w:rsidTr="00493D6D">
        <w:trPr>
          <w:trHeight w:val="530"/>
        </w:trPr>
        <w:tc>
          <w:tcPr>
            <w:tcW w:w="5000" w:type="pct"/>
            <w:gridSpan w:val="2"/>
            <w:vAlign w:val="center"/>
          </w:tcPr>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Solicitantul trebuie să se încadreze în categoria beneficiarilor eligibili.</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Solicitantul trebuie să demonstreze capacitatea de a asigura cofinanțarea investiției.</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Obiectivul trebuie să se încadreze în cel puțin unul dintre tipurile de activități sprijinite.</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Beneficiarul trebuie să aibă sediul social în teritoriul GAL.</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xml:space="preserve">- Investiţia realizată demonstrează utilitate şi creează plus valoare nu numai pentru exploataţia solicitantului ci şi pentru UAT-ul de reşedinţă.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Investiția trebuie să se realizeze în cadrul unei ferme cu o dimensiune economică de minimum 8.000 € SO;</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sz w:val="22"/>
                <w:szCs w:val="22"/>
              </w:rPr>
            </w:pPr>
            <w:r w:rsidRPr="00987923">
              <w:rPr>
                <w:rFonts w:ascii="Trebuchet MS" w:hAnsi="Trebuchet MS"/>
                <w:sz w:val="22"/>
                <w:szCs w:val="22"/>
              </w:rPr>
              <w:t>- În cazul investiţiilor în procesarea produselor agricole sprijinul va fi limitat la investiții în procesarea produselor agricole incluse în lista cuprinsă în Anexa I la Tratatul de Instituire a Comunităţii Europene în scopul obținerii de produse Anexa I și non-Anexa I.</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 Viabilitatea economică a investiției trebuie să fie demonstrată  în baza documentatiei tehnico-economice;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Investițiile în instalații al căror scop principal este producerea de energie electrică, prin utilizarea biomasei, trebuie să respecte prevederile art. 13 (d) din R.807/2014, prin demonstrarea utilizării unui procent minim de energie termică de 10%,</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Investiția va respecta legislaţia în vigoare din domeniul: sănătății publice, sanitar-veterinar și de siguranță alimentară;</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Solicitantul va demonstra că profitul mediu anual (ca medie a ultimilor trei ani fiscali) nu depășește de 4 ori valoarea sprijinului solicitat; </w:t>
            </w:r>
          </w:p>
        </w:tc>
      </w:tr>
      <w:tr w:rsidR="007214C7" w:rsidRPr="00987923" w:rsidTr="00493D6D">
        <w:trPr>
          <w:trHeight w:val="377"/>
        </w:trPr>
        <w:tc>
          <w:tcPr>
            <w:tcW w:w="5000" w:type="pct"/>
            <w:gridSpan w:val="2"/>
            <w:vAlign w:val="center"/>
          </w:tcPr>
          <w:p w:rsidR="007214C7" w:rsidRPr="00987923" w:rsidRDefault="007214C7" w:rsidP="007214C7">
            <w:pPr>
              <w:pStyle w:val="ListParagraph"/>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lastRenderedPageBreak/>
              <w:t>Criterii de selecție</w:t>
            </w:r>
          </w:p>
        </w:tc>
      </w:tr>
      <w:tr w:rsidR="007214C7" w:rsidRPr="00987923" w:rsidTr="00493D6D">
        <w:trPr>
          <w:trHeight w:val="377"/>
        </w:trPr>
        <w:tc>
          <w:tcPr>
            <w:tcW w:w="5000" w:type="pct"/>
            <w:gridSpan w:val="2"/>
            <w:vAlign w:val="center"/>
          </w:tcPr>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Proiecte promovate de forme </w:t>
            </w:r>
            <w:r w:rsidRPr="00943CF7">
              <w:rPr>
                <w:rFonts w:ascii="Trebuchet MS" w:hAnsi="Trebuchet MS"/>
                <w:sz w:val="22"/>
                <w:szCs w:val="22"/>
              </w:rPr>
              <w:t>asociative/membrii în forme asociative</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care vor include tehnologii şi echipamente cu un caracter inovator</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de investiţii care vizează crearea lanțurilor alimentare integrate</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Proiecte care prevăd înfiinţarea de noi locuri de muncă </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care includ acţiuni de protecţia mediului şi de folosire a resurselor regenerabile vor avea prioritate</w:t>
            </w:r>
          </w:p>
          <w:p w:rsidR="007214C7" w:rsidRPr="00987923" w:rsidRDefault="007214C7" w:rsidP="00493D6D">
            <w:pPr>
              <w:pStyle w:val="ListParagraph"/>
              <w:spacing w:line="276" w:lineRule="auto"/>
              <w:ind w:left="0"/>
              <w:jc w:val="both"/>
              <w:rPr>
                <w:rFonts w:ascii="Trebuchet MS" w:hAnsi="Trebuchet MS"/>
                <w:sz w:val="22"/>
                <w:szCs w:val="22"/>
              </w:rPr>
            </w:pPr>
            <w:r w:rsidRPr="00987923">
              <w:rPr>
                <w:rFonts w:ascii="Trebuchet MS" w:hAnsi="Trebuchet MS"/>
                <w:sz w:val="22"/>
                <w:szCs w:val="22"/>
              </w:rPr>
              <w:t>- Proiecte care prevăd investiţii în active corporale din sectorul de procesare a produselor provenite din sectorul legumicol și pomicol pentru</w:t>
            </w:r>
            <w:r w:rsidRPr="00987923">
              <w:rPr>
                <w:rFonts w:ascii="Trebuchet MS" w:hAnsi="Trebuchet MS" w:cs="Courier New"/>
                <w:sz w:val="22"/>
                <w:szCs w:val="22"/>
              </w:rPr>
              <w:t xml:space="preserve"> </w:t>
            </w:r>
            <w:r w:rsidRPr="00987923">
              <w:rPr>
                <w:rFonts w:ascii="Trebuchet MS" w:hAnsi="Trebuchet MS"/>
                <w:sz w:val="22"/>
                <w:szCs w:val="22"/>
              </w:rPr>
              <w:t>înființarea, extinderea și/sau modernizarea unităților ce procesează materie primă provenită din sectorul legumicol și pomicol menționată în Anexa I de la TFUE</w:t>
            </w:r>
          </w:p>
        </w:tc>
      </w:tr>
      <w:tr w:rsidR="007214C7" w:rsidRPr="00987923" w:rsidTr="00493D6D">
        <w:trPr>
          <w:trHeight w:val="422"/>
        </w:trPr>
        <w:tc>
          <w:tcPr>
            <w:tcW w:w="5000" w:type="pct"/>
            <w:gridSpan w:val="2"/>
            <w:vAlign w:val="center"/>
          </w:tcPr>
          <w:p w:rsidR="007214C7" w:rsidRPr="00987923" w:rsidRDefault="007214C7" w:rsidP="007214C7">
            <w:pPr>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t>Sume aplicabile și rata sprijinului</w:t>
            </w:r>
          </w:p>
        </w:tc>
      </w:tr>
      <w:tr w:rsidR="007214C7" w:rsidRPr="00987923" w:rsidTr="00493D6D">
        <w:trPr>
          <w:trHeight w:val="530"/>
        </w:trPr>
        <w:tc>
          <w:tcPr>
            <w:tcW w:w="5000" w:type="pct"/>
            <w:gridSpan w:val="2"/>
            <w:vAlign w:val="center"/>
          </w:tcPr>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Cuantumul sprijinului nerambursabil este de max. </w:t>
            </w:r>
            <w:r w:rsidRPr="00987923">
              <w:rPr>
                <w:rFonts w:ascii="Trebuchet MS" w:hAnsi="Trebuchet MS"/>
                <w:bCs/>
                <w:sz w:val="22"/>
                <w:szCs w:val="22"/>
              </w:rPr>
              <w:t>200.000 de euro/proiect</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Intensitatea sprijinului nerambursabil de 50% se va putea majora cu 20 puncte procentuale suplimentare, dar rata sprijinului combinat nu poate depăși </w:t>
            </w:r>
            <w:r w:rsidRPr="00987923">
              <w:rPr>
                <w:rFonts w:ascii="Trebuchet MS" w:hAnsi="Trebuchet MS"/>
                <w:b/>
                <w:bCs/>
                <w:sz w:val="22"/>
                <w:szCs w:val="22"/>
              </w:rPr>
              <w:t xml:space="preserve">90% </w:t>
            </w:r>
            <w:r w:rsidRPr="00987923">
              <w:rPr>
                <w:rFonts w:ascii="Trebuchet MS" w:hAnsi="Trebuchet MS"/>
                <w:sz w:val="22"/>
                <w:szCs w:val="22"/>
              </w:rPr>
              <w:t xml:space="preserve">în cazul fermelor mici și medii (cu dimensiunea până la 250.000 SO), respectiv </w:t>
            </w:r>
            <w:r w:rsidRPr="00987923">
              <w:rPr>
                <w:rFonts w:ascii="Trebuchet MS" w:hAnsi="Trebuchet MS"/>
                <w:b/>
                <w:bCs/>
                <w:sz w:val="22"/>
                <w:szCs w:val="22"/>
              </w:rPr>
              <w:t xml:space="preserve">70% </w:t>
            </w:r>
            <w:r w:rsidRPr="00987923">
              <w:rPr>
                <w:rFonts w:ascii="Trebuchet MS" w:hAnsi="Trebuchet MS"/>
                <w:sz w:val="22"/>
                <w:szCs w:val="22"/>
              </w:rPr>
              <w:t xml:space="preserve">în cazul fermelor având între 250.000 și 500.000 SO, în cazul: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Investiţiilor realizate de tinerii fermieri, cu vârsta sub 40 de ani, la data depunerii cererii de finanţare (așa cum sunt definiți la art. 2 al R (UE) nr. 1305/2013 sau cei care s-au stabilit în cei cinci ani anteriori solicitării sprijinului, în conformitate cu anexa II a R 1305);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Investițiilor colective și al proiectelor integrate;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Investițiilor legate de operațiunile prevăzute la art. 28 (Agromediu) și art. 29 (Agricultura ecologică) din R(UE) nr. 1305/2013;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Investiții în zone care se confruntă cu constrângeri naturale și cu alte constrângeri specifice, menționate la art. 32 R(UE) nr. 1305/2013.</w:t>
            </w:r>
          </w:p>
        </w:tc>
      </w:tr>
      <w:tr w:rsidR="007214C7" w:rsidRPr="00987923" w:rsidTr="00493D6D">
        <w:trPr>
          <w:trHeight w:val="458"/>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10. Indicatori de monitorizare</w:t>
            </w:r>
          </w:p>
        </w:tc>
      </w:tr>
      <w:tr w:rsidR="007214C7" w:rsidRPr="00987923" w:rsidTr="00493D6D">
        <w:trPr>
          <w:trHeight w:val="440"/>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 xml:space="preserve">Indicator de monitorizare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de exploatații agricole sprijinite</w:t>
            </w:r>
            <w:r>
              <w:rPr>
                <w:rFonts w:ascii="Trebuchet MS" w:hAnsi="Trebuchet MS"/>
                <w:sz w:val="22"/>
                <w:szCs w:val="22"/>
              </w:rPr>
              <w:t xml:space="preserve"> - 6</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operațiuni (proiecte) sprijinite</w:t>
            </w:r>
            <w:r>
              <w:rPr>
                <w:rFonts w:ascii="Trebuchet MS" w:hAnsi="Trebuchet MS"/>
                <w:sz w:val="22"/>
                <w:szCs w:val="22"/>
              </w:rPr>
              <w:t xml:space="preserve"> (6 proiecte)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de locuri de muncă nou create</w:t>
            </w:r>
            <w:r>
              <w:rPr>
                <w:rFonts w:ascii="Trebuchet MS" w:hAnsi="Trebuchet MS"/>
                <w:sz w:val="22"/>
                <w:szCs w:val="22"/>
              </w:rPr>
              <w:t xml:space="preserve"> - 5</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Cheltuieli publice totale</w:t>
            </w:r>
            <w:r>
              <w:rPr>
                <w:rFonts w:ascii="Trebuchet MS" w:hAnsi="Trebuchet MS"/>
                <w:sz w:val="22"/>
                <w:szCs w:val="22"/>
              </w:rPr>
              <w:t xml:space="preserve"> (550.000 euro componenta A + 23,38% x componenta B euro)</w:t>
            </w:r>
          </w:p>
        </w:tc>
      </w:tr>
    </w:tbl>
    <w:p w:rsidR="007214C7" w:rsidRDefault="007214C7"/>
    <w:sectPr w:rsidR="00721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4D61"/>
    <w:multiLevelType w:val="hybridMultilevel"/>
    <w:tmpl w:val="09824164"/>
    <w:lvl w:ilvl="0" w:tplc="20825E24">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C5BF7"/>
    <w:multiLevelType w:val="hybridMultilevel"/>
    <w:tmpl w:val="7504AFE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C7"/>
    <w:rsid w:val="00667777"/>
    <w:rsid w:val="007214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9E34-CFBD-42EC-A487-DD9F6D26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C7"/>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7214C7"/>
    <w:pPr>
      <w:ind w:left="720"/>
      <w:contextualSpacing/>
    </w:pPr>
  </w:style>
  <w:style w:type="paragraph" w:customStyle="1" w:styleId="Default">
    <w:name w:val="Default"/>
    <w:rsid w:val="007214C7"/>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214C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2017-12-02T10:12:00Z</dcterms:created>
  <dcterms:modified xsi:type="dcterms:W3CDTF">2017-12-02T10:12:00Z</dcterms:modified>
</cp:coreProperties>
</file>